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31D24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Evolutionary Stability Optimizer (ESO): A Novel Approach to Identify and Avoid Mutational Hotspots in DNA Sequences while Inducing High Expression Levels</w:t>
      </w:r>
    </w:p>
    <w:p w14:paraId="0421D8A1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Itamar Menuhin-Gruman</w:t>
      </w:r>
      <w:r>
        <w:rPr>
          <w:rFonts w:asciiTheme="majorBidi" w:hAnsiTheme="majorBidi" w:cstheme="majorBidi"/>
          <w:sz w:val="24"/>
          <w:szCs w:val="24"/>
          <w:vertAlign w:val="superscript"/>
        </w:rPr>
        <w:t>1</w:t>
      </w:r>
      <w:r>
        <w:rPr>
          <w:rFonts w:asciiTheme="majorBidi" w:hAnsiTheme="majorBidi" w:cstheme="majorBidi"/>
          <w:sz w:val="24"/>
          <w:szCs w:val="24"/>
        </w:rPr>
        <w:t xml:space="preserve">, Matan </w:t>
      </w:r>
      <w:proofErr w:type="spellStart"/>
      <w:r>
        <w:rPr>
          <w:rFonts w:asciiTheme="majorBidi" w:hAnsiTheme="majorBidi" w:cstheme="majorBidi"/>
          <w:sz w:val="24"/>
          <w:szCs w:val="24"/>
        </w:rPr>
        <w:t>Arbel</w:t>
      </w:r>
      <w:proofErr w:type="spellEnd"/>
      <w:r>
        <w:rPr>
          <w:rFonts w:asciiTheme="majorBidi" w:hAnsiTheme="majorBidi" w:cstheme="majorBidi"/>
          <w:sz w:val="24"/>
          <w:szCs w:val="24"/>
          <w:vertAlign w:val="superscript"/>
          <w:rtl/>
        </w:rPr>
        <w:t>2</w:t>
      </w:r>
      <w:r>
        <w:rPr>
          <w:rFonts w:asciiTheme="majorBidi" w:hAnsiTheme="majorBidi" w:cstheme="majorBidi"/>
          <w:sz w:val="24"/>
          <w:szCs w:val="24"/>
        </w:rPr>
        <w:t>, Niv Amitay</w:t>
      </w:r>
      <w:r>
        <w:rPr>
          <w:rFonts w:asciiTheme="majorBidi" w:hAnsiTheme="majorBidi" w:cstheme="majorBidi"/>
          <w:sz w:val="24"/>
          <w:szCs w:val="24"/>
          <w:vertAlign w:val="superscript"/>
          <w:rtl/>
        </w:rPr>
        <w:t>3</w:t>
      </w:r>
      <w:r>
        <w:rPr>
          <w:rFonts w:asciiTheme="majorBidi" w:hAnsiTheme="majorBidi" w:cstheme="majorBidi"/>
          <w:sz w:val="24"/>
          <w:szCs w:val="24"/>
        </w:rPr>
        <w:t>, Karin Sionov</w:t>
      </w:r>
      <w:r>
        <w:rPr>
          <w:rFonts w:asciiTheme="majorBidi" w:hAnsiTheme="majorBidi" w:cstheme="majorBidi"/>
          <w:sz w:val="24"/>
          <w:szCs w:val="24"/>
          <w:vertAlign w:val="superscript"/>
        </w:rPr>
        <w:t>4</w:t>
      </w:r>
      <w:r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oron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Naki</w:t>
      </w:r>
      <w:proofErr w:type="spellEnd"/>
      <w:r>
        <w:rPr>
          <w:rFonts w:asciiTheme="majorBidi" w:hAnsiTheme="majorBidi" w:cstheme="majorBidi"/>
          <w:sz w:val="24"/>
          <w:szCs w:val="24"/>
          <w:vertAlign w:val="superscript"/>
          <w:rtl/>
        </w:rPr>
        <w:t>2</w:t>
      </w:r>
      <w:r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Ita</w:t>
      </w:r>
      <w:r>
        <w:rPr>
          <w:rFonts w:asciiTheme="majorBidi" w:hAnsiTheme="majorBidi" w:cstheme="majorBidi"/>
          <w:sz w:val="24"/>
          <w:szCs w:val="24"/>
        </w:rPr>
        <w:t>i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Katzir</w:t>
      </w:r>
      <w:proofErr w:type="spellEnd"/>
      <w:r>
        <w:rPr>
          <w:rFonts w:asciiTheme="majorBidi" w:hAnsiTheme="majorBidi" w:cstheme="majorBidi"/>
          <w:sz w:val="24"/>
          <w:szCs w:val="24"/>
          <w:vertAlign w:val="superscript"/>
          <w:rtl/>
        </w:rPr>
        <w:t>2</w:t>
      </w:r>
      <w:r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Omer Edgar</w:t>
      </w:r>
      <w:r>
        <w:rPr>
          <w:rFonts w:asciiTheme="majorBidi" w:hAnsiTheme="majorBidi" w:cstheme="majorBidi"/>
          <w:sz w:val="24"/>
          <w:szCs w:val="24"/>
          <w:vertAlign w:val="superscript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en-GB"/>
        </w:rPr>
        <w:t>Shaked Bergman</w:t>
      </w:r>
      <w:r>
        <w:rPr>
          <w:rFonts w:asciiTheme="majorBidi" w:hAnsiTheme="majorBidi" w:cstheme="majorBidi"/>
          <w:sz w:val="24"/>
          <w:szCs w:val="24"/>
          <w:vertAlign w:val="superscript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 and Tamir Tuller</w:t>
      </w:r>
      <w:r>
        <w:rPr>
          <w:rFonts w:asciiTheme="majorBidi" w:hAnsiTheme="majorBidi" w:cstheme="majorBidi"/>
          <w:sz w:val="24"/>
          <w:szCs w:val="24"/>
          <w:vertAlign w:val="superscript"/>
        </w:rPr>
        <w:t>4,6</w:t>
      </w:r>
    </w:p>
    <w:p w14:paraId="21805735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1</w:t>
      </w:r>
      <w:r>
        <w:rPr>
          <w:rFonts w:asciiTheme="majorBidi" w:hAnsiTheme="majorBidi" w:cstheme="majorBidi"/>
          <w:i/>
          <w:iCs/>
          <w:sz w:val="24"/>
          <w:szCs w:val="24"/>
        </w:rPr>
        <w:t>School of Mathematical Sciences, The Raymond and Beverly Sackler Faculty of Exact Sciences, Tel Aviv University, Israel.</w:t>
      </w:r>
    </w:p>
    <w:p w14:paraId="539E4101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2</w:t>
      </w:r>
      <w:r>
        <w:rPr>
          <w:rFonts w:asciiTheme="majorBidi" w:hAnsiTheme="majorBidi" w:cstheme="majorBidi"/>
          <w:i/>
          <w:iCs/>
          <w:sz w:val="24"/>
          <w:szCs w:val="24"/>
        </w:rPr>
        <w:t>Shmunis School of Biomedicine and Cancer Research, The George S. Wise Faculty of Life Sciences, Tel Aviv University, Israel.</w:t>
      </w:r>
    </w:p>
    <w:p w14:paraId="79309867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3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School of Electrical Engineering, The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Iby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Aladar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Fleischman Faculty of Engineering, Tel Aviv University, Israel.</w:t>
      </w:r>
    </w:p>
    <w:p w14:paraId="5853ADD7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4</w:t>
      </w:r>
      <w:r>
        <w:rPr>
          <w:rFonts w:asciiTheme="majorBidi" w:hAnsiTheme="majorBidi" w:cstheme="majorBidi"/>
          <w:i/>
          <w:iCs/>
          <w:sz w:val="24"/>
          <w:szCs w:val="24"/>
        </w:rPr>
        <w:t>Department of Biomedical Engineering, Tel-Aviv University, Tel Aviv, Israel.</w:t>
      </w:r>
    </w:p>
    <w:p w14:paraId="1D40E5DA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5</w:t>
      </w:r>
      <w:r>
        <w:rPr>
          <w:rFonts w:asciiTheme="majorBidi" w:hAnsiTheme="majorBidi" w:cstheme="majorBidi"/>
          <w:i/>
          <w:iCs/>
          <w:sz w:val="24"/>
          <w:szCs w:val="24"/>
        </w:rPr>
        <w:t>School of Medicine, The Sackler Faculty of Medicine, Tel Aviv University, Israel.</w:t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</w:p>
    <w:p w14:paraId="5DBEA061" w14:textId="77777777" w:rsidR="0053723C" w:rsidRDefault="0053723C" w:rsidP="0053723C">
      <w:pPr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6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The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Sagol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School of Neuroscience, Tel-Aviv University, Tel Aviv, Israel.</w:t>
      </w:r>
    </w:p>
    <w:p w14:paraId="21F51C3D" w14:textId="77777777" w:rsidR="004836B4" w:rsidRPr="0053723C" w:rsidRDefault="004836B4"/>
    <w:sectPr w:rsidR="004836B4" w:rsidRPr="0053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NDA1NDAytrA0tDRW0lEKTi0uzszPAykwrAUAhkZVNiwAAAA="/>
  </w:docVars>
  <w:rsids>
    <w:rsidRoot w:val="004836B4"/>
    <w:rsid w:val="004836B4"/>
    <w:rsid w:val="0053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F3914-AA81-4350-9E2F-02DC274B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23C"/>
    <w:pPr>
      <w:bidi/>
      <w:spacing w:line="256" w:lineRule="auto"/>
    </w:pPr>
    <w:rPr>
      <w:lang w:val="en-U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itamar menuhin</dc:creator>
  <cp:keywords/>
  <dc:description/>
  <cp:lastModifiedBy>itamar menuhin</cp:lastModifiedBy>
  <cp:revision>2</cp:revision>
  <dcterms:created xsi:type="dcterms:W3CDTF">2021-10-28T16:01:00Z</dcterms:created>
  <dcterms:modified xsi:type="dcterms:W3CDTF">2021-10-28T16:03:00Z</dcterms:modified>
</cp:coreProperties>
</file>